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9787" w14:textId="041B0658" w:rsidR="003B104C" w:rsidRPr="003B104C" w:rsidRDefault="003B104C" w:rsidP="003B104C">
      <w:pPr>
        <w:rPr>
          <w:rFonts w:ascii="Arial" w:eastAsia="Times New Roman" w:hAnsi="Arial" w:cs="Arial"/>
          <w:lang w:eastAsia="cs-CZ"/>
        </w:rPr>
      </w:pPr>
      <w:r w:rsidRPr="003B104C">
        <w:rPr>
          <w:rFonts w:ascii="Calibri" w:eastAsia="Times New Roman" w:hAnsi="Calibri" w:cs="Times New Roman"/>
          <w:noProof/>
          <w:szCs w:val="24"/>
        </w:rPr>
        <w:drawing>
          <wp:inline distT="0" distB="0" distL="0" distR="0" wp14:anchorId="0CB88418" wp14:editId="1DB0551A">
            <wp:extent cx="5762625" cy="581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4C">
        <w:rPr>
          <w:rFonts w:ascii="Arial" w:eastAsia="Times New Roman" w:hAnsi="Arial" w:cs="Arial"/>
          <w:lang w:eastAsia="cs-CZ"/>
        </w:rPr>
        <w:tab/>
        <w:t xml:space="preserve"> </w:t>
      </w:r>
    </w:p>
    <w:p w14:paraId="7530200F" w14:textId="77777777" w:rsidR="003B104C" w:rsidRPr="003B104C" w:rsidRDefault="003B104C" w:rsidP="003B104C">
      <w:pPr>
        <w:rPr>
          <w:rFonts w:ascii="Arial" w:eastAsia="Times New Roman" w:hAnsi="Arial" w:cs="Arial"/>
          <w:lang w:eastAsia="cs-CZ"/>
        </w:rPr>
      </w:pPr>
      <w:r w:rsidRPr="003B104C">
        <w:rPr>
          <w:rFonts w:ascii="Arial" w:eastAsia="Times New Roman" w:hAnsi="Arial" w:cs="Arial"/>
          <w:lang w:eastAsia="cs-CZ"/>
        </w:rPr>
        <w:tab/>
      </w:r>
    </w:p>
    <w:p w14:paraId="524ACFC4" w14:textId="77777777" w:rsidR="003B104C" w:rsidRPr="003B104C" w:rsidRDefault="003B104C" w:rsidP="003B104C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1B1176D6" w14:textId="77777777" w:rsidR="003B104C" w:rsidRPr="003B104C" w:rsidRDefault="003B104C" w:rsidP="003B10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8A10C" w14:textId="77777777" w:rsidR="003B104C" w:rsidRPr="003B104C" w:rsidRDefault="003B104C" w:rsidP="003B10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0"/>
        <w:gridCol w:w="3588"/>
      </w:tblGrid>
      <w:tr w:rsidR="003B104C" w:rsidRPr="003B104C" w14:paraId="68996AE6" w14:textId="77777777" w:rsidTr="003B104C">
        <w:trPr>
          <w:trHeight w:val="1125"/>
        </w:trPr>
        <w:tc>
          <w:tcPr>
            <w:tcW w:w="5700" w:type="dxa"/>
          </w:tcPr>
          <w:p w14:paraId="4E1710C4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14:paraId="65EB0D03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14:paraId="055F15D1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14:paraId="2BD4B1B8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14:paraId="19B29B90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14:paraId="7406B43B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588" w:type="dxa"/>
          </w:tcPr>
          <w:p w14:paraId="403D423B" w14:textId="77777777" w:rsidR="003B104C" w:rsidRPr="003B104C" w:rsidRDefault="003B104C" w:rsidP="003B104C">
            <w:pP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3B104C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nám. 14. října 2188/9</w:t>
            </w:r>
          </w:p>
          <w:p w14:paraId="0922A296" w14:textId="77777777" w:rsidR="003B104C" w:rsidRPr="003B104C" w:rsidRDefault="003B104C" w:rsidP="003B104C">
            <w:pP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3B104C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150 </w:t>
            </w:r>
            <w:proofErr w:type="gramStart"/>
            <w:r w:rsidRPr="003B104C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00  Praha</w:t>
            </w:r>
            <w:proofErr w:type="gramEnd"/>
            <w:r w:rsidRPr="003B104C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5</w:t>
            </w:r>
          </w:p>
          <w:p w14:paraId="10C3FD1B" w14:textId="77777777" w:rsidR="003B104C" w:rsidRPr="003B104C" w:rsidRDefault="003B104C" w:rsidP="003B104C">
            <w:pPr>
              <w:widowControl w:val="0"/>
              <w:shd w:val="clear" w:color="auto" w:fill="FFFFFF"/>
              <w:suppressAutoHyphens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04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telefon: +420 257 111 611 </w:t>
            </w:r>
          </w:p>
          <w:p w14:paraId="49D1B984" w14:textId="77777777" w:rsidR="003B104C" w:rsidRPr="003B104C" w:rsidRDefault="003B104C" w:rsidP="003B104C">
            <w:pPr>
              <w:widowControl w:val="0"/>
              <w:shd w:val="clear" w:color="auto" w:fill="FFFFFF"/>
              <w:suppressAutoHyphens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104C">
              <w:rPr>
                <w:rFonts w:ascii="Arial" w:eastAsia="Arial" w:hAnsi="Arial" w:cs="Arial"/>
                <w:sz w:val="18"/>
                <w:szCs w:val="18"/>
                <w:lang w:eastAsia="ar-SA"/>
              </w:rPr>
              <w:t>fax: +420 257 111 723 podatelna@msz.pha.justice.cz</w:t>
            </w:r>
          </w:p>
          <w:p w14:paraId="0DC6EC73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3B104C">
              <w:rPr>
                <w:rFonts w:ascii="Arial" w:eastAsia="Calibri" w:hAnsi="Arial" w:cs="Arial"/>
                <w:sz w:val="18"/>
                <w:szCs w:val="18"/>
                <w:lang w:eastAsia="ar-SA"/>
              </w:rPr>
              <w:t>datová schránka: ijeabe3</w:t>
            </w:r>
          </w:p>
          <w:p w14:paraId="2369B60B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14:paraId="29799BAA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14:paraId="3955902A" w14:textId="77777777" w:rsidR="003B104C" w:rsidRPr="003B104C" w:rsidRDefault="003B104C" w:rsidP="003B104C">
            <w:pPr>
              <w:widowControl w:val="0"/>
              <w:shd w:val="clear" w:color="auto" w:fill="FFFFFF"/>
              <w:suppressAutoHyphens/>
              <w:jc w:val="right"/>
              <w:rPr>
                <w:rFonts w:ascii="Arial" w:eastAsia="Arial" w:hAnsi="Arial" w:cs="Arial"/>
                <w:caps/>
                <w:sz w:val="24"/>
                <w:szCs w:val="20"/>
                <w:lang w:eastAsia="ar-SA"/>
              </w:rPr>
            </w:pPr>
            <w:r w:rsidRPr="003B104C">
              <w:rPr>
                <w:rFonts w:ascii="Arial" w:eastAsia="Arial" w:hAnsi="Arial" w:cs="Arial"/>
                <w:sz w:val="24"/>
                <w:szCs w:val="24"/>
                <w:lang w:eastAsia="ar-SA"/>
              </w:rPr>
              <w:t>Praha 28. srpna 2022</w:t>
            </w:r>
          </w:p>
          <w:p w14:paraId="22887912" w14:textId="77777777" w:rsidR="003B104C" w:rsidRPr="003B104C" w:rsidRDefault="003B104C" w:rsidP="003B104C">
            <w:pPr>
              <w:suppressLineNumbers/>
              <w:tabs>
                <w:tab w:val="center" w:pos="4536"/>
                <w:tab w:val="right" w:pos="9072"/>
              </w:tabs>
              <w:suppressAutoHyphens/>
              <w:jc w:val="right"/>
              <w:rPr>
                <w:rFonts w:ascii="Calibri" w:eastAsia="Calibri" w:hAnsi="Calibri" w:cs="Times New Roman"/>
                <w:lang w:eastAsia="ar-SA"/>
              </w:rPr>
            </w:pPr>
            <w:r w:rsidRPr="003B104C">
              <w:rPr>
                <w:rFonts w:ascii="Arial" w:eastAsia="Calibri" w:hAnsi="Arial" w:cs="Arial"/>
                <w:caps/>
                <w:sz w:val="24"/>
                <w:lang w:eastAsia="ar-SA"/>
              </w:rPr>
              <w:t>2 SPR 133/2022</w:t>
            </w:r>
          </w:p>
        </w:tc>
      </w:tr>
    </w:tbl>
    <w:p w14:paraId="60A6DEB5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BAA7D5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FC58DAB" w14:textId="77777777" w:rsidR="003B104C" w:rsidRPr="003B104C" w:rsidRDefault="003B104C" w:rsidP="003B104C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Vyhlášení výběrového řízení na místa právních čekatelů pro obvod působnosti</w:t>
      </w:r>
    </w:p>
    <w:p w14:paraId="78D89330" w14:textId="77777777" w:rsidR="003B104C" w:rsidRPr="003B104C" w:rsidRDefault="003B104C" w:rsidP="003B104C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Městského státního zastupitelství v Praze</w:t>
      </w:r>
    </w:p>
    <w:p w14:paraId="27938FE0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Městský státní zástupce v Praze po projednání s Ministerstvem spravedlnosti České republiky vyhlašuje výběrové řízení na obsazení míst právních čekatelů pro obvod působnosti Městského státního zastupitelství v Praze.  </w:t>
      </w:r>
    </w:p>
    <w:p w14:paraId="63034C8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09BD42D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Výběrové řízení se vyhlašuje na internetových stránkách Ministerstva spravedlnosti České republiky a oznamuje se na úřední desce všech krajských a okresních státních zastupitelství.  </w:t>
      </w:r>
    </w:p>
    <w:p w14:paraId="452782DC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D41AD3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Podrobné informace o podmínkách k účasti ve výběrovém řízení a o jeho průběhu, včetně vzorového formuláře přihlášky k účasti ve výběrovém řízení, je možno získat v elektronické podobě na internetových stránkách Ministerstva spravedlnosti České republiky a na internetových stránkách Městského státního zastupitelství v Praze, jakož i na </w:t>
      </w:r>
      <w:proofErr w:type="spell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infoDeskách</w:t>
      </w:r>
      <w:proofErr w:type="spell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těchto orgánů (blíže viz www.verejnazaloba.cz). V písemné podobě lze tyto materiály získat na Městském státním zastupitelství v Praze. </w:t>
      </w:r>
    </w:p>
    <w:p w14:paraId="3F15CF84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C6E401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Přihlášky uchazečů k účasti ve výběrovém řízení na obsazení míst právních čekatelů pro obvod působnosti Městského státního zastupitelství v Praze je nutno se stanovenými přílohami doručit na Městské státní zastupitelství v Praze, nám. 14. října 9/2188 Praha 5, v termínu nejpozději do </w:t>
      </w: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14. října 2022.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325C72A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3B567711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F2294B9" w14:textId="77777777" w:rsidR="003B104C" w:rsidRPr="003B104C" w:rsidRDefault="003B104C" w:rsidP="003B104C">
      <w:pPr>
        <w:keepNext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CB07D55" w14:textId="77777777" w:rsidR="003B104C" w:rsidRPr="003B104C" w:rsidRDefault="003B104C" w:rsidP="003B104C">
      <w:pPr>
        <w:keepNext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                                                        Mgr. Martin </w:t>
      </w:r>
      <w:proofErr w:type="spellStart"/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>Erazím</w:t>
      </w:r>
      <w:proofErr w:type="spellEnd"/>
    </w:p>
    <w:p w14:paraId="49C51718" w14:textId="77777777" w:rsidR="003B104C" w:rsidRPr="003B104C" w:rsidRDefault="003B104C" w:rsidP="003B104C">
      <w:pPr>
        <w:keepNext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                                                 městský státní zástupce v Praze</w:t>
      </w:r>
    </w:p>
    <w:p w14:paraId="2913DF3E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A681A19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6BE235A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75EE752" w14:textId="77777777" w:rsidR="003B104C" w:rsidRPr="003B104C" w:rsidRDefault="003B104C" w:rsidP="003B104C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EDD1466" w14:textId="77777777" w:rsidR="003B104C" w:rsidRPr="003B104C" w:rsidRDefault="003B104C" w:rsidP="003B104C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                       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PŘIHLÁŠKA  K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PŘIJETÍ</w:t>
      </w:r>
    </w:p>
    <w:p w14:paraId="22645E34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do čekatelské praxe 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právního  čekatele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obvodu působnosti Městského státního zastupitelství v Praze ve výběrovém řízení vyhlášeném v roce 2022</w:t>
      </w:r>
    </w:p>
    <w:p w14:paraId="7F7EBFDD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</w:t>
      </w:r>
    </w:p>
    <w:p w14:paraId="3C936C5C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</w:t>
      </w:r>
    </w:p>
    <w:p w14:paraId="7EB0CEA0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Příjmení, jméno a titul: </w:t>
      </w:r>
    </w:p>
    <w:p w14:paraId="5FF3BBB8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4757BC1" w14:textId="77777777" w:rsidR="003B104C" w:rsidRPr="003B104C" w:rsidRDefault="003B104C" w:rsidP="003B104C">
      <w:pPr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1962E5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Adresa trvalého bydliště:</w:t>
      </w:r>
    </w:p>
    <w:p w14:paraId="4AF3C57B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4EBD4CE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</w:p>
    <w:p w14:paraId="664FA37F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PSČ:</w:t>
      </w:r>
    </w:p>
    <w:p w14:paraId="184035FA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Okres:</w:t>
      </w:r>
    </w:p>
    <w:p w14:paraId="72636E71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Kraj:</w:t>
      </w:r>
    </w:p>
    <w:p w14:paraId="6B90CED9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</w:t>
      </w:r>
    </w:p>
    <w:p w14:paraId="2D5C46F4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Adresa pro zasílání korespondence, je-li od adresy bydliště odlišná:</w:t>
      </w:r>
    </w:p>
    <w:p w14:paraId="481ADCAD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990B11D" w14:textId="77777777" w:rsidR="003B104C" w:rsidRPr="003B104C" w:rsidRDefault="003B104C" w:rsidP="003B104C">
      <w:pPr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EE77E53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Datum narození:</w:t>
      </w:r>
    </w:p>
    <w:p w14:paraId="21E6195C" w14:textId="77777777" w:rsidR="003B104C" w:rsidRPr="003B104C" w:rsidRDefault="003B104C" w:rsidP="003B104C">
      <w:pPr>
        <w:tabs>
          <w:tab w:val="left" w:pos="567"/>
        </w:tabs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Rodné číslo:</w:t>
      </w:r>
    </w:p>
    <w:p w14:paraId="1367A4C8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Telefon:</w:t>
      </w:r>
    </w:p>
    <w:p w14:paraId="0A2955A4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Mobilní telefon:  </w:t>
      </w:r>
    </w:p>
    <w:p w14:paraId="6EC724E8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e-mail: </w:t>
      </w:r>
    </w:p>
    <w:p w14:paraId="68DFB830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fax:</w:t>
      </w:r>
    </w:p>
    <w:p w14:paraId="69A9F675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</w:t>
      </w:r>
    </w:p>
    <w:p w14:paraId="3860CB5C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</w:p>
    <w:p w14:paraId="74664EA0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Účast v předchozích výběrových řízeních:</w:t>
      </w:r>
    </w:p>
    <w:p w14:paraId="13E357E6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</w:t>
      </w:r>
    </w:p>
    <w:p w14:paraId="13AFCB21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a) rok:</w:t>
      </w:r>
    </w:p>
    <w:p w14:paraId="5A1069C8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</w:p>
    <w:p w14:paraId="42B711B8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b) kde:</w:t>
      </w:r>
    </w:p>
    <w:p w14:paraId="042FA78C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</w:t>
      </w:r>
    </w:p>
    <w:p w14:paraId="333B6852" w14:textId="77777777" w:rsidR="003B104C" w:rsidRPr="003B104C" w:rsidRDefault="003B104C" w:rsidP="003B104C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c) na funkci:</w:t>
      </w:r>
    </w:p>
    <w:p w14:paraId="091DF00D" w14:textId="77777777" w:rsidR="003B104C" w:rsidRPr="003B104C" w:rsidRDefault="003B104C" w:rsidP="003B104C">
      <w:pPr>
        <w:keepNext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C8EE987" w14:textId="77777777" w:rsidR="003B104C" w:rsidRPr="003B104C" w:rsidRDefault="003B104C" w:rsidP="003B104C">
      <w:pPr>
        <w:keepNext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1A1D2D5" w14:textId="77777777" w:rsidR="003B104C" w:rsidRPr="003B104C" w:rsidRDefault="003B104C" w:rsidP="003B104C">
      <w:pPr>
        <w:keepNext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82219B5" w14:textId="77777777" w:rsidR="003B104C" w:rsidRPr="003B104C" w:rsidRDefault="003B104C" w:rsidP="003B104C">
      <w:pPr>
        <w:keepNext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Přihlášku </w:t>
      </w:r>
      <w:r w:rsidRPr="003B10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doručí</w:t>
      </w: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uchazeč na shora uvedenou adresu Městského státního zastupitelství v 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Praze  </w:t>
      </w:r>
      <w:r w:rsidRPr="003B10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nejpozději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  do  14. října 2022.</w:t>
      </w:r>
    </w:p>
    <w:p w14:paraId="7F4116FB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1BA067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1E58E1F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doručení přihlášky:</w:t>
      </w:r>
    </w:p>
    <w:p w14:paraId="3E8A1B18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33E4DC5" w14:textId="77777777" w:rsidR="003B104C" w:rsidRPr="003B104C" w:rsidRDefault="003B104C" w:rsidP="003B104C">
      <w:pPr>
        <w:spacing w:before="240" w:after="60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</w:p>
    <w:p w14:paraId="183A678B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3A30555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0104C71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C517E97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D72444B" w14:textId="77777777" w:rsidR="003B104C" w:rsidRPr="003B104C" w:rsidRDefault="003B104C" w:rsidP="003B104C">
      <w:pPr>
        <w:spacing w:before="240" w:after="60"/>
        <w:jc w:val="center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</w:p>
    <w:p w14:paraId="43B2B821" w14:textId="77777777" w:rsidR="003B104C" w:rsidRPr="003B104C" w:rsidRDefault="003B104C" w:rsidP="003B104C">
      <w:pPr>
        <w:spacing w:before="240" w:after="60"/>
        <w:jc w:val="center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 Ř I H L Á Š K A</w:t>
      </w:r>
    </w:p>
    <w:p w14:paraId="3A4E9D62" w14:textId="77777777" w:rsidR="003B104C" w:rsidRPr="003B104C" w:rsidRDefault="003B104C" w:rsidP="003B104C">
      <w:pPr>
        <w:numPr>
          <w:ilvl w:val="12"/>
          <w:numId w:val="0"/>
        </w:num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4F898CE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Ukončení vysokoškolského vzdělání, získaného řádným ukončením studia v magisterském studijním programu v oblasti práva na vysoké škole v České republice (přesné datum a název školy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 :</w:t>
      </w:r>
      <w:proofErr w:type="gramEnd"/>
    </w:p>
    <w:p w14:paraId="000B1FBC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5CD1D61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8ECE0EA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27D4DD8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Jazykové znalosti, včetně úspěšného složení státní zkoušky:</w:t>
      </w:r>
    </w:p>
    <w:p w14:paraId="7C203354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A5E11E0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3. Dosavadní právní praxe: </w:t>
      </w:r>
    </w:p>
    <w:p w14:paraId="05E0C207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A803F91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51359EB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26D67B6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A3074B5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F9F115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Zahraniční stáže:</w:t>
      </w:r>
    </w:p>
    <w:p w14:paraId="32A2AEB6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6154E2A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A647721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 Odborná publikační, pedagogická činnost:</w:t>
      </w:r>
    </w:p>
    <w:p w14:paraId="1B3AE69C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DADBC4C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D1D9057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237468E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6. K přihlášce je uchazeč povinen 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připojit :</w:t>
      </w:r>
      <w:proofErr w:type="gramEnd"/>
    </w:p>
    <w:p w14:paraId="1D9A6D1C" w14:textId="77777777" w:rsidR="003B104C" w:rsidRPr="003B104C" w:rsidRDefault="003B104C" w:rsidP="003B104C">
      <w:pPr>
        <w:ind w:left="426" w:hanging="142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a) stručný životopis včetně stručného odůvodnění přihlášky </w:t>
      </w:r>
      <w:proofErr w:type="gramStart"/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>o  přijetí</w:t>
      </w:r>
      <w:proofErr w:type="gramEnd"/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 konkrétní funkce, další dosažené odbornosti, vzdělání apod.,</w:t>
      </w:r>
    </w:p>
    <w:p w14:paraId="48589581" w14:textId="77777777" w:rsidR="003B104C" w:rsidRPr="003B104C" w:rsidRDefault="003B104C" w:rsidP="003B104C">
      <w:pPr>
        <w:ind w:left="345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>b) výpis z evidence Rejstříku trestů ne starší 3 měsíců,</w:t>
      </w:r>
    </w:p>
    <w:p w14:paraId="096C478A" w14:textId="77777777" w:rsidR="003B104C" w:rsidRPr="003B104C" w:rsidRDefault="003B104C" w:rsidP="003B104C">
      <w:pPr>
        <w:ind w:left="345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c) ověřenou kopii lustračního osvědčení, vydaného po 30.6.2001 a čestné prohlášení podle § 4 odst. </w:t>
      </w:r>
      <w:smartTag w:uri="urn:schemas-microsoft-com:office:smarttags" w:element="metricconverter">
        <w:smartTagPr>
          <w:attr w:name="ProductID" w:val="3, a"/>
        </w:smartTagPr>
        <w:r w:rsidRPr="003B104C">
          <w:rPr>
            <w:rFonts w:ascii="Arial" w:eastAsia="Times New Roman" w:hAnsi="Arial" w:cs="Arial"/>
            <w:bCs/>
            <w:sz w:val="20"/>
            <w:szCs w:val="20"/>
            <w:lang w:eastAsia="cs-CZ"/>
          </w:rPr>
          <w:t>3, a</w:t>
        </w:r>
      </w:smartTag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§ 2 odst. 1 písm. d) až </w:t>
      </w:r>
      <w:proofErr w:type="gramStart"/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>h)  zákona</w:t>
      </w:r>
      <w:proofErr w:type="gramEnd"/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č. 451/1991 Sb., ve znění pozdějších předpisů </w:t>
      </w:r>
      <w:r w:rsidRPr="003B104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*)</w:t>
      </w: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</w:p>
    <w:p w14:paraId="1A012C29" w14:textId="77777777" w:rsidR="003B104C" w:rsidRPr="003B104C" w:rsidRDefault="003B104C" w:rsidP="003B104C">
      <w:pPr>
        <w:ind w:left="345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d) ověřené doklady o skončení studia na právnické fakultě </w:t>
      </w:r>
      <w:r w:rsidRPr="003B104C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(§ 55 odst. 2 zákona č.</w:t>
      </w: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r w:rsidRPr="003B104C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111/1998 Sb., o vysokých školách</w:t>
      </w:r>
      <w:r w:rsidRPr="003B104C">
        <w:rPr>
          <w:rFonts w:ascii="Arial" w:eastAsia="Times New Roman" w:hAnsi="Arial" w:cs="Arial"/>
          <w:bCs/>
          <w:sz w:val="20"/>
          <w:szCs w:val="20"/>
          <w:lang w:eastAsia="cs-CZ"/>
        </w:rPr>
        <w:t>), a o dosažení akademického titulu, vědecké nebo vědecko-pedagogické hodnosti.</w:t>
      </w:r>
    </w:p>
    <w:p w14:paraId="3A07EF1F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</w:p>
    <w:p w14:paraId="5D6D4403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B104C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t xml:space="preserve"> *)   </w:t>
      </w:r>
      <w:r w:rsidRPr="003B104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Tato podmínka se nevztahuje na uchazeče, kteří se narodili po 1.12. </w:t>
      </w:r>
      <w:proofErr w:type="gramStart"/>
      <w:r w:rsidRPr="003B104C">
        <w:rPr>
          <w:rFonts w:ascii="Arial" w:eastAsia="Times New Roman" w:hAnsi="Arial" w:cs="Arial"/>
          <w:b/>
          <w:sz w:val="20"/>
          <w:szCs w:val="20"/>
          <w:lang w:eastAsia="cs-CZ"/>
        </w:rPr>
        <w:t>1971 !</w:t>
      </w:r>
      <w:proofErr w:type="gramEnd"/>
    </w:p>
    <w:p w14:paraId="43D7196E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771D8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D73FFE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BEA28E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6EECAA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A7A0FC0" w14:textId="77777777" w:rsidR="003B104C" w:rsidRPr="003B104C" w:rsidRDefault="003B104C" w:rsidP="003B104C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Prohlašuji</w:t>
      </w:r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že jsem si plně vědom(a), že nabídku místa výkonu funkce právního </w:t>
      </w:r>
      <w:proofErr w:type="gramStart"/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>čekatele</w:t>
      </w:r>
      <w:r w:rsidRPr="003B104C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 xml:space="preserve">  </w:t>
      </w:r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>určuje</w:t>
      </w:r>
      <w:proofErr w:type="gramEnd"/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Městské státní zastupitelství v Praze, že absolvování čekatelské praxe u konkrétního státního zastupitelství  nezakládá žádný nárok na určení budoucího místa výkonu funkce státního zástupce,</w:t>
      </w:r>
      <w:r w:rsidRPr="003B104C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 xml:space="preserve">  </w:t>
      </w:r>
      <w:r w:rsidRPr="003B104C">
        <w:rPr>
          <w:rFonts w:ascii="Arial" w:eastAsia="Times New Roman" w:hAnsi="Arial" w:cs="Arial"/>
          <w:bCs/>
          <w:sz w:val="24"/>
          <w:szCs w:val="24"/>
          <w:lang w:eastAsia="cs-CZ"/>
        </w:rPr>
        <w:t>a že na případné budoucí jmenování do funkce státního zástupce není, ani při splnění všech stanovených podmínek, právní nárok.</w:t>
      </w:r>
    </w:p>
    <w:p w14:paraId="57BAF1FE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9E294C9" w14:textId="77777777" w:rsidR="003B104C" w:rsidRPr="003B104C" w:rsidRDefault="003B104C" w:rsidP="003B104C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Beru na vědomí:</w:t>
      </w:r>
    </w:p>
    <w:p w14:paraId="4472B1FE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234858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INFORMACI O ZPRACOVÁNÍ OSOBNÍCH ÚDAJŮ</w:t>
      </w:r>
    </w:p>
    <w:p w14:paraId="079B4777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115E7E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„GDPR“).</w:t>
      </w:r>
    </w:p>
    <w:p w14:paraId="146305CE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E27765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Správce:</w:t>
      </w:r>
    </w:p>
    <w:p w14:paraId="4C0B2313" w14:textId="77777777" w:rsidR="003B104C" w:rsidRPr="003B104C" w:rsidRDefault="003B104C" w:rsidP="003B104C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Městské státní zastupitelství v </w:t>
      </w:r>
      <w:proofErr w:type="gramStart"/>
      <w:r w:rsidRPr="003B104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Praze </w:t>
      </w:r>
      <w:r w:rsidRPr="003B10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  <w:r w:rsidRPr="003B104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se sídlem Praha 5, nám. 14. října 2188/9, IČ: 00026000, (dále jen „SZ“)  </w:t>
      </w:r>
    </w:p>
    <w:p w14:paraId="624D7162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003A281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SZ o Vás zpracovává nebo bude zpracovávat následující osobní údaje, a to:</w:t>
      </w:r>
    </w:p>
    <w:p w14:paraId="367E09E7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4EB0FF" w14:textId="77777777" w:rsidR="003B104C" w:rsidRPr="003B104C" w:rsidRDefault="003B104C" w:rsidP="003B104C">
      <w:pPr>
        <w:keepNext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osobní údaje uvedené v přílohách této přihlášky</w:t>
      </w:r>
    </w:p>
    <w:p w14:paraId="11E8E475" w14:textId="77777777" w:rsidR="003B104C" w:rsidRPr="003B104C" w:rsidRDefault="003B104C" w:rsidP="003B104C">
      <w:pPr>
        <w:keepNext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osobní údaje obdržené v rámci dalšího průběhu výběrového řízení (např. výsledky psychologicko-diagnostického vyšetření)</w:t>
      </w:r>
    </w:p>
    <w:p w14:paraId="2E910A5D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474B8F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Shora uvedené osobní údaje o Vás SZ bude zpracovávat výhradně pro účely konání výběrového řízení a v případě Vašeho úspěchu i dále v souladu s Vaším prohlášením uvedeným výše. </w:t>
      </w:r>
    </w:p>
    <w:p w14:paraId="032A6227" w14:textId="77777777" w:rsidR="003B104C" w:rsidRPr="003B104C" w:rsidRDefault="003B104C" w:rsidP="003B104C">
      <w:pPr>
        <w:keepNext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04244C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S Vašimi osobními údaji se seznamují toliko osoby, které se účastní výběrového řízení nebo organizují výběrové řízení, a to jak ze soustavy státního zastupitelství, tak i z Ministerstva spravedlnosti. V nezbytném rozsahu se seznamují dále osoby zajišťující psychologicko-diagnostické vyšetření, a to výhradně pro účely zpracování psychologicko-diagnostického vyšetření.</w:t>
      </w:r>
    </w:p>
    <w:p w14:paraId="15F13EF2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089162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Vaše osobní údaje zpracováváme po dobu trvání výběrového řízení a po jeho skončení Vaše osobní údaje uchováváme v souladu se lhůtami stanovenými obecně závaznými právními předpisy a skartačním řádem státního zastupitelství.</w:t>
      </w:r>
    </w:p>
    <w:p w14:paraId="5ABE587F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55D3E8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EAF47F8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68C305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F0E6D0F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7AB4E9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7B2E0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A1A52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497E24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79150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288164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F8969F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Dále prohlašuji, že jsem srozuměn/srozuměna se svým právem:</w:t>
      </w:r>
    </w:p>
    <w:p w14:paraId="32B71B92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A9774C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mít přístup ke svým osobním údajům podle čl. 15 GDPR,</w:t>
      </w:r>
    </w:p>
    <w:p w14:paraId="41526E7C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požadovat jejich opravu podle čl. 16 GDPR,</w:t>
      </w:r>
    </w:p>
    <w:p w14:paraId="126556A7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výmaz osobních údajů bez zbytečného odkladu, pokud jsou dány důvody podle čl. 17 GDPR,</w:t>
      </w:r>
    </w:p>
    <w:p w14:paraId="54BA02B5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omezení zpracování osobních údajů v případech podle čl. 18 GDPR,</w:t>
      </w:r>
    </w:p>
    <w:p w14:paraId="7F06C2E0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přenositelnost údajů v případech stanovených v čl. 20 GDPR,</w:t>
      </w:r>
    </w:p>
    <w:p w14:paraId="416F0582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vznést námitku proti zpracování podle čl. 21 GDPR,</w:t>
      </w:r>
    </w:p>
    <w:p w14:paraId="5B332910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odvolat tento souhlas podle čl. 7 odst. 3 GDPR,</w:t>
      </w:r>
    </w:p>
    <w:p w14:paraId="54BB26AC" w14:textId="77777777" w:rsidR="003B104C" w:rsidRPr="003B104C" w:rsidRDefault="003B104C" w:rsidP="003B104C">
      <w:pPr>
        <w:keepNext/>
        <w:keepLines/>
        <w:numPr>
          <w:ilvl w:val="1"/>
          <w:numId w:val="3"/>
        </w:numPr>
        <w:ind w:left="426" w:hanging="426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podat proti správci údajů stížnost podle čl. 77 GDPR.</w:t>
      </w:r>
    </w:p>
    <w:p w14:paraId="2AC788DA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3D9CA0B" w14:textId="77777777" w:rsidR="003B104C" w:rsidRPr="003B104C" w:rsidRDefault="003B104C" w:rsidP="003B104C">
      <w:pPr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Pověřenec pro ochranu osobních údajů</w:t>
      </w:r>
    </w:p>
    <w:p w14:paraId="1528E057" w14:textId="77777777" w:rsidR="003B104C" w:rsidRPr="003B104C" w:rsidRDefault="003B104C" w:rsidP="003B104C">
      <w:pPr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C332300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 xml:space="preserve">Pověřencem pro ochranu osobních údajů je Ing. Petr </w:t>
      </w:r>
      <w:proofErr w:type="spellStart"/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>Fukan</w:t>
      </w:r>
      <w:proofErr w:type="spellEnd"/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 xml:space="preserve">, adresa pro doručování Nejvyšší státní zastupitelství, Jezuitská 4, 660 55 </w:t>
      </w:r>
      <w:proofErr w:type="gramStart"/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>Brno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,  </w:t>
      </w:r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>e-mail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hyperlink r:id="rId6" w:history="1">
        <w:r w:rsidRPr="003B1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pověřenec@nsz.brn.justice.cz</w:t>
        </w:r>
      </w:hyperlink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B104C">
        <w:rPr>
          <w:rFonts w:ascii="Arial" w:eastAsia="Times New Roman" w:hAnsi="Arial" w:cs="Arial"/>
          <w:color w:val="030303"/>
          <w:sz w:val="24"/>
          <w:szCs w:val="24"/>
          <w:lang w:eastAsia="cs-CZ"/>
        </w:rPr>
        <w:t>ID datové schránky: 5smaetu</w:t>
      </w:r>
    </w:p>
    <w:p w14:paraId="30D29616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9D490BA" w14:textId="77777777" w:rsidR="003B104C" w:rsidRPr="003B104C" w:rsidRDefault="003B104C" w:rsidP="003B104C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cs-CZ"/>
        </w:rPr>
      </w:pPr>
    </w:p>
    <w:p w14:paraId="0AC0F508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 ………………………… dne………………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.                               Podpis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uchazeče :</w:t>
      </w:r>
      <w:proofErr w:type="gramEnd"/>
    </w:p>
    <w:p w14:paraId="2784F5FF" w14:textId="77777777" w:rsidR="003B104C" w:rsidRPr="003B104C" w:rsidRDefault="003B104C" w:rsidP="003B104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DDF30E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C23B81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1680E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B0A9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3197C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59EF0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F1E74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003A2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88403D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15043C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01B61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375CAB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EAF373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A48D7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190D37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1CB7CB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C3C527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F6447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66BBFB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464AE6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B434AC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55702B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BCF89D" w14:textId="77777777" w:rsidR="003B104C" w:rsidRPr="003B104C" w:rsidRDefault="003B104C" w:rsidP="003B10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A7474" w14:textId="77777777" w:rsidR="003B104C" w:rsidRPr="003B104C" w:rsidRDefault="003B104C" w:rsidP="003B104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3B10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lastRenderedPageBreak/>
        <w:t xml:space="preserve">Základní </w:t>
      </w:r>
      <w:r w:rsidRPr="003B104C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informace o výběrovém řízení pro uchazeče o přijetí do čekatelské praxe v roce 2022   a   o podmínkách vzniku pracovního poměru a jeho obsahu</w:t>
      </w:r>
    </w:p>
    <w:p w14:paraId="757262AD" w14:textId="77777777" w:rsidR="003B104C" w:rsidRPr="003B104C" w:rsidRDefault="003B104C" w:rsidP="003B104C">
      <w:pPr>
        <w:keepNext/>
        <w:spacing w:before="240" w:after="60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40406D33" w14:textId="77777777" w:rsidR="003B104C" w:rsidRPr="003B104C" w:rsidRDefault="003B104C" w:rsidP="003B104C">
      <w:pPr>
        <w:keepNext/>
        <w:spacing w:before="240" w:after="60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Zásady výběru uchazečů</w:t>
      </w:r>
    </w:p>
    <w:p w14:paraId="02AA1C2A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Výběrové řízení do čekatelské praxe vyhlašuje městský státní zástupce Městského státního zastupitelství v Praze (dále jen městský státní zástupce) po projednání s Ministerstvem spravedlnosti ČR podle potřeby obsazení volných míst právních čekatelů. </w:t>
      </w:r>
    </w:p>
    <w:p w14:paraId="53073A8B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Řádně vyplněnou přihlášku je třeba doručit Městském státnímu zastupitelství v Praze, v jehož obvodu má uchazeč zájem vykonávat čekatelskou praxi, a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to  </w:t>
      </w:r>
      <w:r w:rsidRPr="003B10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nejpozději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  do 14. října 2022.</w:t>
      </w:r>
    </w:p>
    <w:p w14:paraId="575DC4AF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Výběr probíhá ve třech etapách.</w:t>
      </w:r>
    </w:p>
    <w:p w14:paraId="434F446B" w14:textId="77777777" w:rsidR="003B104C" w:rsidRPr="003B104C" w:rsidRDefault="003B104C" w:rsidP="003B104C">
      <w:pPr>
        <w:numPr>
          <w:ilvl w:val="12"/>
          <w:numId w:val="0"/>
        </w:numPr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00845A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První etapa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je zaměřena na posouzení úplnosti a obsahu doručené přihlášky a její vyhodnocení.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Nepředloží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>-li uchazeč řádně vyplněnou přihlášku nebo nepředloží-li všechny požadované doklady ani po výzvě ve lhůtě stanovené k jejich doplnění, krajský státní zástupce uchazeče z účasti na výběrovém řízení vyřadí.</w:t>
      </w:r>
    </w:p>
    <w:p w14:paraId="55E25579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Ve druhé etapě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se formou písemného testu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ověří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na základě jednotné metodiky odborné znalosti a předpoklady uchazeče pro přijetí do čekatelské prax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Metodiku a způsob vyhodnocení výsledků písemného testu připravuje Justiční akademie a schvaluje Ministerstvo spravedlnosti. Úspěšné absolvování testu je podmínkou pro další účast uchazeče ve výběrovém řízení. Uchazeč, který při testu neuspěje, bude z výběrového řízení vyřazen. Uchazeč bude o tom písemně vyrozuměn.</w:t>
      </w:r>
    </w:p>
    <w:p w14:paraId="66F5E88F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Třetí etapa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výběrového řízení spočívá v přijímacím pohovoru, jehož cílem je celkové zhodnocení předpokladů uchazeče pro přijetí a předpokládané určení obvodního státního zastupitelství, u něhož bude čekatel vykonávat čekatelskou praxi. Přijímací pohovor provádí komise složená ze státních zástupců působících v obvodu městského státního zastupitelství. Přijímacího pohovoru se účastní též zástupce Justiční akademi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Výsledkem je navržení nebo nenavržení uchazeče k přijetí. Uchazeč, který nebude navržen k přijetí, bude z výběrového řízení vyřazen. O vyřazení z výběrového řízení bude uchazeč písemně vyrozuměn.</w:t>
      </w:r>
    </w:p>
    <w:p w14:paraId="02E79B7B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4475E2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Městský státní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zástupce  přijímá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uchazeče do čekatelské praxe a určuje místo jejího výkonu. Přihlíží přitom k výsledkům předchozích etap výběrového řízení a k vyjádření zástupce Justiční akademie ČR při přijímacím pohovoru. Uchazeči, kteří splnili všechna stanovená kritéria a budou městským státním zástupcem vybráni k přijetí do čekatelské praxe, se podrobí </w:t>
      </w: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psychologickému vyšetření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příslušným odborným pracovištěm za účelem ověření morálních vlastností uchazeče.  Přijetí nebo nepřijetí uchazeče do přípravné služby je konečné a nelze proti němu podat opravný prostředek. </w:t>
      </w:r>
    </w:p>
    <w:p w14:paraId="7F6B1B6B" w14:textId="77777777" w:rsidR="003B104C" w:rsidRPr="003B104C" w:rsidRDefault="003B104C" w:rsidP="003B104C">
      <w:pPr>
        <w:numPr>
          <w:ilvl w:val="12"/>
          <w:numId w:val="0"/>
        </w:numPr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7D12C" w14:textId="77777777" w:rsidR="003B104C" w:rsidRPr="003B104C" w:rsidRDefault="003B104C" w:rsidP="003B104C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Uchazeč, který se bez důvodné omluvy nepodrobí některé z etap výběrového řízení, bude z výběrového řízení vyřazen. Rovněž bude vyřazen,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nepředloží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-li všechny požadované doklady či předloží-li chybně vyplněnou či neplatnou přihlášku. </w:t>
      </w:r>
    </w:p>
    <w:p w14:paraId="05F0528A" w14:textId="77777777" w:rsidR="003B104C" w:rsidRPr="003B104C" w:rsidRDefault="003B104C" w:rsidP="003B104C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F9B2B88" w14:textId="77777777" w:rsidR="003B104C" w:rsidRPr="003B104C" w:rsidRDefault="003B104C" w:rsidP="003B104C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EE1F179" w14:textId="77777777" w:rsidR="003B104C" w:rsidRPr="003B104C" w:rsidRDefault="003B104C" w:rsidP="003B104C">
      <w:pPr>
        <w:keepNext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F98C8B" w14:textId="77777777" w:rsidR="003B104C" w:rsidRPr="003B104C" w:rsidRDefault="003B104C" w:rsidP="003B104C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Pracovní poměr </w:t>
      </w:r>
    </w:p>
    <w:p w14:paraId="7C918550" w14:textId="77777777" w:rsidR="003B104C" w:rsidRPr="003B104C" w:rsidRDefault="003B104C" w:rsidP="003B104C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Požadované předpoklady uchazeče pro přijetí do funkce právního čekatele jsou: státní občanství České republiky, způsobilost k právním úkonům, bezúhonnost, morální vlastnosti uchazeče dávající záruku, že budoucí funkci bude řádně zastávat, vysokoškolské vzdělání v magisterském studijním programu v oblasti práva na vysoké škole v České republice, negativní lustrační osvědčení a čestné prohlášení (zákon č. 451/1991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Sb. )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B43F93" w14:textId="77777777" w:rsidR="003B104C" w:rsidRPr="003B104C" w:rsidRDefault="003B104C" w:rsidP="003B104C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EF7F1CD" w14:textId="77777777" w:rsidR="003B104C" w:rsidRPr="003B104C" w:rsidRDefault="003B104C" w:rsidP="003B104C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Pracovní poměr právního čekatele se uzavírá na dobu určitou za podmínek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ustanovení  §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33  zákona č. 283/1993 Sb., v platném znění. </w:t>
      </w:r>
    </w:p>
    <w:p w14:paraId="290401A4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</w:p>
    <w:p w14:paraId="19BFC4F3" w14:textId="77777777" w:rsidR="003B104C" w:rsidRPr="003B104C" w:rsidRDefault="003B104C" w:rsidP="003B104C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Zaměstnavatelem je Česká republika – Městské státní zastupitelství v Praze, v jehož obvodu bude čekatel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vykonávat  čekatelskou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praxi. </w:t>
      </w:r>
    </w:p>
    <w:p w14:paraId="6CF365FB" w14:textId="77777777" w:rsidR="003B104C" w:rsidRPr="003B104C" w:rsidRDefault="003B104C" w:rsidP="003B104C">
      <w:pPr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9C47DE" w14:textId="77777777" w:rsidR="003B104C" w:rsidRPr="003B104C" w:rsidRDefault="003B104C" w:rsidP="003B104C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Místem výkonu čekatelské praxe (místo výkonu práce) budou obvodní státní zastupitelství v obvodu působnosti Městského státního zastupitelství v Praze. Místo výkonu čekatelské praxe a obvodní státní zastupitelství, označené jako pravidelné pracoviště právního čekatele, se určuje s přihlédnutím k potřebám Městského státního zastupitelství v Praze, zajištění kvalitního průběhu čekatelské praxe, osobním poměrům uchazeče a předpokládanému budoucímu určení místa výkonu funkce státního zástupc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Určení místa výkonu čekatelské praxe však nezakládá nárok na budoucí výkon funkce státního zástupce u konkrétního zastupitelství. </w:t>
      </w:r>
    </w:p>
    <w:p w14:paraId="167DE8E4" w14:textId="77777777" w:rsidR="003B104C" w:rsidRPr="003B104C" w:rsidRDefault="003B104C" w:rsidP="003B104C">
      <w:pPr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5C331D" w14:textId="77777777" w:rsidR="003B104C" w:rsidRPr="003B104C" w:rsidRDefault="003B104C" w:rsidP="003B104C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Obsahem pracovního poměru je absolvování čekatelské prax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Podrobnosti jsou upraveny vyhláškou Ministerstva spravedlnosti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ČR  č.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383/2017 Sb., o výběru, přijímání, odborné přípravě a odborných zkouškách justičních a právních čekatelů v platném znění.</w:t>
      </w:r>
    </w:p>
    <w:p w14:paraId="2721D9E5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8B0F17E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72D5DAC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Úplné znění vyhlášky Ministerstva spravedlnosti ČR č. 383/2017 Sb., ze dne 14. 11. 2017, o výběru, přijímání a odborné přípravě justičních a právních čekatelů a o odborné justiční zkoušce a odborné závěrečné zkoušce právních čekatelů, v platném znění, je k dispozici ve Sbírce zákonů na</w:t>
      </w:r>
      <w:r w:rsidRPr="003B104C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 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www.mv.cz</w:t>
      </w:r>
      <w:r w:rsidRPr="003B104C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 .</w:t>
      </w:r>
      <w:proofErr w:type="gramEnd"/>
    </w:p>
    <w:p w14:paraId="426F3C5E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406BB46C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7EF557A4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5302890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390EB10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969AFB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1C464AE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657245A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81A72ED" w14:textId="77777777" w:rsidR="003B104C" w:rsidRPr="003B104C" w:rsidRDefault="003B104C" w:rsidP="003B104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9B7CCF5" w14:textId="77777777" w:rsidR="003B104C" w:rsidRPr="003B104C" w:rsidRDefault="003B104C" w:rsidP="003B10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3EAB31" w14:textId="77777777" w:rsidR="003B104C" w:rsidRPr="003B104C" w:rsidRDefault="003B104C" w:rsidP="003B10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E3A6EFD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Metodika k obsahu a hodnocení písemného testu a přijímacího pohovoru </w:t>
      </w:r>
    </w:p>
    <w:p w14:paraId="72C0A0DF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(§ </w:t>
      </w: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3 ,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§ 4 vyhlášky č. 383/2017 Sb. v platném znění)</w:t>
      </w:r>
    </w:p>
    <w:p w14:paraId="62E8775B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B37D114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75C98C5" w14:textId="77777777" w:rsidR="003B104C" w:rsidRPr="003B104C" w:rsidRDefault="003B104C" w:rsidP="003B104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65DB9B9" w14:textId="77777777" w:rsidR="003B104C" w:rsidRPr="003B104C" w:rsidRDefault="003B104C" w:rsidP="003B104C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Obsah, forma, příprava, průběh a hodnocení písemného testu</w:t>
      </w:r>
    </w:p>
    <w:p w14:paraId="44AAC74C" w14:textId="77777777" w:rsidR="003B104C" w:rsidRPr="003B104C" w:rsidRDefault="003B104C" w:rsidP="003B104C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(§ 4 vyhlášky)</w:t>
      </w:r>
    </w:p>
    <w:p w14:paraId="66AC8753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Písemný test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tvoří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60 otázek z jednotlivých oblastí práva, historie práva, úlohy a role soudní moci a nositele veřejné žaloby a všeobecných znalostí. Jednotlivé oblasti jsou zastoupeny takto:</w:t>
      </w:r>
    </w:p>
    <w:p w14:paraId="03D05765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trestní právo 20 otázek</w:t>
      </w:r>
    </w:p>
    <w:p w14:paraId="6AB561CE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organizace státního zastupitelství a justice 10 otázek</w:t>
      </w:r>
    </w:p>
    <w:p w14:paraId="4B760ACE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civilní právo 5 otázek</w:t>
      </w:r>
    </w:p>
    <w:p w14:paraId="0A895B0E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správní právo 5 otázek</w:t>
      </w:r>
    </w:p>
    <w:p w14:paraId="5276CFDF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ústavní právo 5 otázek</w:t>
      </w:r>
    </w:p>
    <w:p w14:paraId="33118929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obecné znalosti 10 otázek</w:t>
      </w:r>
    </w:p>
    <w:p w14:paraId="42C7B9FE" w14:textId="77777777" w:rsidR="003B104C" w:rsidRPr="003B104C" w:rsidRDefault="003B104C" w:rsidP="003B104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logika 5 otázek </w:t>
      </w:r>
    </w:p>
    <w:p w14:paraId="033725C9" w14:textId="77777777" w:rsidR="003B104C" w:rsidRPr="003B104C" w:rsidRDefault="003B104C" w:rsidP="003B104C">
      <w:pPr>
        <w:ind w:left="92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B141B2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Forma: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>  Každá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otázka má předepsány 4 odpovědi, z nichž vždy pouze jedna je správná.</w:t>
      </w:r>
    </w:p>
    <w:p w14:paraId="2C3233EB" w14:textId="77777777" w:rsidR="003B104C" w:rsidRPr="003B104C" w:rsidRDefault="003B104C" w:rsidP="003B104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CFE784B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Příprava: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Městský státní zástupce zadá vypracování otázek písemného testu předsedovi poradního sboru pro výchovu právních čekatelů. Písemný test bude vypracován v souladu s jednotnou metodikou zpracovanou Justiční akademií ČR s odsouhlasenou Ministerstvem spravedlnosti ČR. Městský státní zástupce odpovídá za jeho vyváženost. </w:t>
      </w:r>
    </w:p>
    <w:p w14:paraId="69599861" w14:textId="77777777" w:rsidR="003B104C" w:rsidRPr="003B104C" w:rsidRDefault="003B104C" w:rsidP="003B104C">
      <w:pPr>
        <w:spacing w:after="12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2D37B7DA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Průběh: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Městský státní zástupce sdělí prokazatelným způsobem nejpozději 14 dnů předem termín konání písemného testu všem účastníkům, kteří se řádně a včas do výběrového řízení přihlásili. Stanovený termín je jednotný. Na uchazeče, který se ve stanovenou dobu nedostaví a řádně se neomluví, se pohlíží jako na uchazeče, který při písemném testu neuspěl. Průběh testu řídí osoba z řad městského státního zastupitelství. Před zahájením zpracování testu sdělí pověřená osoba účastníkům podmínky pro jeho průběh, počet uchazečů postupujících k přijímacímu pohovoru, způsob hodnocení, způsob označení správné odpovědi, a dobu stanovenou pro provedení písemného testu. Pověřená osoba odpovídá po celou dobu konání testu za jeho řádný průběh. Na uchazeče, který stanovené podmínky nebo řádný průběh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>, se pohlíží jako na uchazeče, který při písemném testu neuspěl.</w:t>
      </w:r>
    </w:p>
    <w:p w14:paraId="4D94EE4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585E997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Hodnocení: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Městský státní zástupce stanoví, s přihlédnutím k počtu volných míst právních čekatelů, k jejichž obsazení je výběrové řízení vypsáno, před zahájením písemného testu počet uchazečů, kteří postoupí do další etapy výběrového řízení. </w:t>
      </w:r>
    </w:p>
    <w:p w14:paraId="5D5F30DA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Do určené kvóty se zařadí uchazeči v pořadí úspěšnosti při písemném testu určeném počtem bodů dosaženým při písemném testu. Každá správně zodpovězená otázka je hodnocena 1 bodem. Nezodpovězené otázky a otázky, u nichž byla vyznačena více než jedna odpověď, jsou považovány za otázky zodpovězené nesprávně. </w:t>
      </w:r>
    </w:p>
    <w:p w14:paraId="27E203B9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Dosáhne-li na posledním pořadovém místě, které uchazeče opravňuje k účasti u přijímacího pohovoru, stejného pořadí (stejného počtu bodů) více než jeden uchazeč, zvyšuje se o tento počet původně určená kvóta postupujících uchazečů. Nepostupuje však ten, kdo by měl méně než 80% úspěšnost. </w:t>
      </w:r>
    </w:p>
    <w:p w14:paraId="24B59298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Výsledek písemného testu se uchazeči sdělí ve lhůtě stanovené městským státním zástupcem.</w:t>
      </w:r>
    </w:p>
    <w:p w14:paraId="64C5A882" w14:textId="77777777" w:rsidR="003B104C" w:rsidRPr="003B104C" w:rsidRDefault="003B104C" w:rsidP="003B104C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DE7486" w14:textId="77777777" w:rsidR="003B104C" w:rsidRPr="003B104C" w:rsidRDefault="003B104C" w:rsidP="003B104C">
      <w:pPr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(Příklad: Počet míst k obsazení=10, určený počet postupujících=např. 20, celkový skutečný počet postupujících k přijímacímu pohovoru=20 + počet dalších uchazečů, kteří dosáhli stejného počtu bodů </w:t>
      </w:r>
      <w:proofErr w:type="gramStart"/>
      <w:r w:rsidRPr="003B10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na  posledním</w:t>
      </w:r>
      <w:proofErr w:type="gramEnd"/>
      <w:r w:rsidRPr="003B104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 pořadovém místě).</w:t>
      </w:r>
    </w:p>
    <w:p w14:paraId="2A28DE5F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CE7A3FF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D8B6466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7977326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  a</w:t>
      </w:r>
      <w:proofErr w:type="gramEnd"/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hodnocení přijímacího pohovoru </w:t>
      </w:r>
    </w:p>
    <w:p w14:paraId="18294755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A24925" w14:textId="77777777" w:rsidR="003B104C" w:rsidRPr="003B104C" w:rsidRDefault="003B104C" w:rsidP="003B104C">
      <w:pPr>
        <w:overflowPunct w:val="0"/>
        <w:ind w:right="-15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Obsah: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Přijímací pohovor s uchazečem je zaměřen, v návaznosti na obsah písemného testu, k získání dalších podrobnějších základních informací o schopnostech uchazeče a jeho předpokladech pro budoucí výkon funkce státního zástupc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Cílem pohovoru je zejména zjištění</w:t>
      </w:r>
    </w:p>
    <w:p w14:paraId="26DCCBF0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a)  podrobnějších poznatků o znalosti základních odborných otázek spojených   </w:t>
      </w:r>
    </w:p>
    <w:p w14:paraId="7F887234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zejména s výkonem budoucí funkce státního zástupce, </w:t>
      </w:r>
    </w:p>
    <w:p w14:paraId="309238B1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b)  základního přehledu o postavení státního zástupce podle zákona o státním </w:t>
      </w:r>
    </w:p>
    <w:p w14:paraId="7495A541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zastupitelství, </w:t>
      </w:r>
    </w:p>
    <w:p w14:paraId="2BF1AF57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c)  znalosti organizace státních zastupitelství,</w:t>
      </w:r>
    </w:p>
    <w:p w14:paraId="71E078D7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d)  představy o charakteru a zvláštnostech práce v justici a výkonu funkce státního zástupce, </w:t>
      </w:r>
    </w:p>
    <w:p w14:paraId="4B88C0F2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e)  orientace uchazeče v základních právních úpravách rozhodných pro </w:t>
      </w:r>
    </w:p>
    <w:p w14:paraId="585EF308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výkon konkrétní budoucí funkce, se zaměřením zejména na přehled o vývoji hmotněprávních a procesních předpisů na jednotlivých stupních státního zastupitelství,  </w:t>
      </w:r>
    </w:p>
    <w:p w14:paraId="4D9E620E" w14:textId="77777777" w:rsidR="003B104C" w:rsidRPr="003B104C" w:rsidRDefault="003B104C" w:rsidP="003B104C">
      <w:pPr>
        <w:overflowPunct w:val="0"/>
        <w:ind w:left="567"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f)  míry základních znalostí teorie práva a ústavních základů výkonu funkce státních   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zástupců, rozdíl oproti úpravě ve vztahu k soudcům,</w:t>
      </w:r>
    </w:p>
    <w:p w14:paraId="50249F5B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g) představy o konkrétním místě výkonu funkce čekatele a možnostech profesní             mobility ve vazbě na osobní poměry uchazeče,</w:t>
      </w:r>
    </w:p>
    <w:p w14:paraId="280251F5" w14:textId="77777777" w:rsidR="003B104C" w:rsidRPr="003B104C" w:rsidRDefault="003B104C" w:rsidP="003B104C">
      <w:pPr>
        <w:numPr>
          <w:ilvl w:val="0"/>
          <w:numId w:val="7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osobnostní charakteristiky uchazeče (osobní zájmy, zaměření, představa o </w:t>
      </w:r>
    </w:p>
    <w:p w14:paraId="7C0EED0E" w14:textId="77777777" w:rsidR="003B104C" w:rsidRPr="003B104C" w:rsidRDefault="003B104C" w:rsidP="003B104C">
      <w:pPr>
        <w:overflowPunct w:val="0"/>
        <w:ind w:left="567"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profesním uplatnění, obecný kulturní a politický přehled, posuzování </w:t>
      </w:r>
    </w:p>
    <w:p w14:paraId="63A9361C" w14:textId="77777777" w:rsidR="003B104C" w:rsidRPr="003B104C" w:rsidRDefault="003B104C" w:rsidP="003B104C">
      <w:pPr>
        <w:overflowPunct w:val="0"/>
        <w:ind w:left="567"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komunikačních schopností, schopnosti formulovat a odůvodnit názory na </w:t>
      </w:r>
    </w:p>
    <w:p w14:paraId="6D8DAC1B" w14:textId="77777777" w:rsidR="003B104C" w:rsidRPr="003B104C" w:rsidRDefault="003B104C" w:rsidP="003B104C">
      <w:pPr>
        <w:overflowPunct w:val="0"/>
        <w:ind w:left="567"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    problematické otázky). </w:t>
      </w:r>
    </w:p>
    <w:p w14:paraId="6F108323" w14:textId="77777777" w:rsidR="003B104C" w:rsidRPr="003B104C" w:rsidRDefault="003B104C" w:rsidP="003B104C">
      <w:pPr>
        <w:overflowPunct w:val="0"/>
        <w:ind w:left="851" w:right="-15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83D551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79B6B27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06A9222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Hodnocení: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374E976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2D15CE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 návaznosti na obsah písemného testu stanovit okruh otázek z jednotlivých oblastí práva (občanské, trestní, správní, ústavní) a dalších oblastí (role státního zastupitelství, organizace justice, obecné znalosti, logické myšlení) a těmto okruhům věnovat vždy jasně vymezenou časovou dotaci v rámci přijímacího pohovoru,</w:t>
      </w:r>
    </w:p>
    <w:p w14:paraId="57AA53AE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samostatně cílenými dotazy prověřit osobnostní charakteristiky uchazeče</w:t>
      </w:r>
    </w:p>
    <w:p w14:paraId="3C591DDE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každý ze členů komise oboduje výkon uchazeče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0 – 10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bodů,</w:t>
      </w:r>
    </w:p>
    <w:p w14:paraId="41DB9774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pořadí uchazečů po přijímacím pohovoru se </w:t>
      </w:r>
      <w:proofErr w:type="gramStart"/>
      <w:r w:rsidRPr="003B104C">
        <w:rPr>
          <w:rFonts w:ascii="Arial" w:eastAsia="Times New Roman" w:hAnsi="Arial" w:cs="Arial"/>
          <w:sz w:val="24"/>
          <w:szCs w:val="24"/>
          <w:lang w:eastAsia="cs-CZ"/>
        </w:rPr>
        <w:t>určí</w:t>
      </w:r>
      <w:proofErr w:type="gramEnd"/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souhrnem bodů od jednotlivých členů komise,</w:t>
      </w:r>
    </w:p>
    <w:p w14:paraId="204E13C3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při celkovém hodnocení se preferuje kritérium kvality uchazeče před ochotou obsadit konkrétní pracovní místo,</w:t>
      </w:r>
    </w:p>
    <w:p w14:paraId="6E58D26A" w14:textId="77777777" w:rsidR="003B104C" w:rsidRPr="003B104C" w:rsidRDefault="003B104C" w:rsidP="003B104C">
      <w:pPr>
        <w:numPr>
          <w:ilvl w:val="0"/>
          <w:numId w:val="8"/>
        </w:numPr>
        <w:overflowPunct w:val="0"/>
        <w:ind w:right="-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při dosažení shodného hodnocení uchazečů se zajistí, aby konečné rozhodnutí komise o doporučení k přijetí vycházelo důsledně z principu rovného zacházení s muži a ženami a zákazu diskriminace s přihlédnutím ke všem okolnostem, vyplývajícím z celkové personální situace v obvodu městského státního zastupitelství. </w:t>
      </w:r>
    </w:p>
    <w:p w14:paraId="608D1DA6" w14:textId="77777777" w:rsidR="003B104C" w:rsidRPr="003B104C" w:rsidRDefault="003B104C" w:rsidP="003B104C">
      <w:pPr>
        <w:overflowPunct w:val="0"/>
        <w:ind w:left="2268" w:right="-15"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B74DF0" w14:textId="77777777" w:rsidR="003B104C" w:rsidRPr="003B104C" w:rsidRDefault="003B104C" w:rsidP="003B104C">
      <w:pPr>
        <w:overflowPunct w:val="0"/>
        <w:ind w:left="2268" w:right="-15"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35A17E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Uchazeči, kteří splnili všechna stanovená kritéria a budou městským státním zástupcem vybráni k přijetí do čekatelské praxe, se podrobí </w:t>
      </w:r>
      <w:r w:rsidRPr="003B104C">
        <w:rPr>
          <w:rFonts w:ascii="Arial" w:eastAsia="Times New Roman" w:hAnsi="Arial" w:cs="Arial"/>
          <w:b/>
          <w:sz w:val="24"/>
          <w:szCs w:val="24"/>
          <w:lang w:eastAsia="cs-CZ"/>
        </w:rPr>
        <w:t>psychologickému vyšetření</w:t>
      </w:r>
      <w:r w:rsidRPr="003B104C">
        <w:rPr>
          <w:rFonts w:ascii="Arial" w:eastAsia="Times New Roman" w:hAnsi="Arial" w:cs="Arial"/>
          <w:sz w:val="24"/>
          <w:szCs w:val="24"/>
          <w:lang w:eastAsia="cs-CZ"/>
        </w:rPr>
        <w:t xml:space="preserve"> příslušným odborným pracovištěm za účelem ověření morálních vlastností uchazeče. </w:t>
      </w:r>
    </w:p>
    <w:p w14:paraId="2B81262F" w14:textId="77777777" w:rsidR="003B104C" w:rsidRPr="003B104C" w:rsidRDefault="003B104C" w:rsidP="003B104C">
      <w:pPr>
        <w:overflowPunct w:val="0"/>
        <w:ind w:right="-15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4A29086" w14:textId="77777777" w:rsidR="003B104C" w:rsidRPr="003B104C" w:rsidRDefault="003B104C" w:rsidP="003B104C">
      <w:pPr>
        <w:overflowPunct w:val="0"/>
        <w:ind w:left="2268" w:right="-15"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8F280A" w14:textId="77777777" w:rsidR="003B104C" w:rsidRPr="003B104C" w:rsidRDefault="003B104C" w:rsidP="003B104C">
      <w:pPr>
        <w:overflowPunct w:val="0"/>
        <w:ind w:right="-1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B104C">
        <w:rPr>
          <w:rFonts w:ascii="Arial" w:eastAsia="Times New Roman" w:hAnsi="Arial" w:cs="Arial"/>
          <w:sz w:val="24"/>
          <w:szCs w:val="24"/>
          <w:lang w:eastAsia="cs-CZ"/>
        </w:rPr>
        <w:t>V případech, kdy uchazeč splnil všechna stanovená kritéria pro přijetí, ale přijat nebyl pouze pro nedostatek volných funkčních míst stanovených pro obvod Městského státního zastupitelství v Praze, je městské státní zastupitelství povinno tuto skutečnost uvést v písemném sdělení uchazeči o jeho nepřijetí do čekatelské prax</w:t>
      </w:r>
      <w:smartTag w:uri="urn:schemas-microsoft-com:office:smarttags" w:element="PersonName">
        <w:r w:rsidRPr="003B104C">
          <w:rPr>
            <w:rFonts w:ascii="Arial" w:eastAsia="Times New Roman" w:hAnsi="Arial" w:cs="Arial"/>
            <w:sz w:val="24"/>
            <w:szCs w:val="24"/>
            <w:lang w:eastAsia="cs-CZ"/>
          </w:rPr>
          <w:t>e.</w:t>
        </w:r>
      </w:smartTag>
    </w:p>
    <w:p w14:paraId="7DFFECC8" w14:textId="77777777" w:rsidR="003B104C" w:rsidRPr="003B104C" w:rsidRDefault="003B104C" w:rsidP="003B104C">
      <w:pPr>
        <w:overflowPunct w:val="0"/>
        <w:ind w:left="2268" w:right="-15"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2BBD19" w14:textId="77777777" w:rsidR="003B104C" w:rsidRPr="003B104C" w:rsidRDefault="003B104C" w:rsidP="003B104C">
      <w:pPr>
        <w:overflowPunct w:val="0"/>
        <w:ind w:right="-15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2FB4D22" w14:textId="77777777" w:rsidR="00FD2277" w:rsidRPr="00FD2277" w:rsidRDefault="00FD2277">
      <w:pPr>
        <w:rPr>
          <w:rFonts w:ascii="Arial" w:hAnsi="Arial" w:cs="Arial"/>
          <w:sz w:val="24"/>
          <w:szCs w:val="24"/>
        </w:rPr>
      </w:pPr>
    </w:p>
    <w:sectPr w:rsidR="00FD2277" w:rsidRPr="00FD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313"/>
    <w:multiLevelType w:val="hybridMultilevel"/>
    <w:tmpl w:val="D798682E"/>
    <w:lvl w:ilvl="0" w:tplc="6D5E2D72">
      <w:start w:val="8"/>
      <w:numFmt w:val="lowerLetter"/>
      <w:lvlText w:val="%1)"/>
      <w:lvlJc w:val="left"/>
      <w:pPr>
        <w:tabs>
          <w:tab w:val="num" w:pos="942"/>
        </w:tabs>
        <w:ind w:left="942" w:hanging="375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073E80"/>
    <w:multiLevelType w:val="hybridMultilevel"/>
    <w:tmpl w:val="F76EC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744BBA"/>
    <w:multiLevelType w:val="hybridMultilevel"/>
    <w:tmpl w:val="D55A5CEC"/>
    <w:lvl w:ilvl="0" w:tplc="ABAEBCE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5E78CB"/>
    <w:multiLevelType w:val="hybridMultilevel"/>
    <w:tmpl w:val="BFC4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61D"/>
    <w:multiLevelType w:val="hybridMultilevel"/>
    <w:tmpl w:val="52920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B1C"/>
    <w:multiLevelType w:val="hybridMultilevel"/>
    <w:tmpl w:val="31CE1B72"/>
    <w:lvl w:ilvl="0" w:tplc="2A788CD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25EAF"/>
    <w:multiLevelType w:val="hybridMultilevel"/>
    <w:tmpl w:val="B5005C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4C"/>
    <w:rsid w:val="00294D16"/>
    <w:rsid w:val="003B104C"/>
    <w:rsid w:val="004F2215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638A4"/>
  <w15:chartTrackingRefBased/>
  <w15:docId w15:val="{E2DFC23B-9D28-4E0F-8EFD-0C3F00B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&#283;&#345;enec@nsz.brn.just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2500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 Marketa</dc:creator>
  <cp:keywords/>
  <dc:description/>
  <cp:lastModifiedBy>Polakova Marketa</cp:lastModifiedBy>
  <cp:revision>2</cp:revision>
  <cp:lastPrinted>2022-08-29T12:43:00Z</cp:lastPrinted>
  <dcterms:created xsi:type="dcterms:W3CDTF">2022-08-29T13:00:00Z</dcterms:created>
  <dcterms:modified xsi:type="dcterms:W3CDTF">2022-08-29T13:00:00Z</dcterms:modified>
</cp:coreProperties>
</file>